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6" w:rsidRDefault="00650BE6">
      <w:pPr>
        <w:spacing w:line="200" w:lineRule="exact"/>
        <w:rPr>
          <w:sz w:val="24"/>
          <w:szCs w:val="24"/>
        </w:rPr>
      </w:pPr>
    </w:p>
    <w:p w:rsidR="00650BE6" w:rsidRPr="000F6385" w:rsidRDefault="000F6385" w:rsidP="000F6385">
      <w:pPr>
        <w:ind w:right="-239"/>
        <w:jc w:val="right"/>
        <w:rPr>
          <w:i/>
          <w:sz w:val="20"/>
          <w:szCs w:val="20"/>
          <w:lang w:val="en-US"/>
        </w:rPr>
      </w:pPr>
      <w:bookmarkStart w:id="0" w:name="page2"/>
      <w:bookmarkEnd w:id="0"/>
      <w:r w:rsidRPr="000F6385">
        <w:rPr>
          <w:rFonts w:eastAsia="Times New Roman"/>
          <w:b/>
          <w:bCs/>
          <w:i/>
          <w:sz w:val="24"/>
          <w:szCs w:val="24"/>
        </w:rPr>
        <w:t xml:space="preserve">Приложение </w:t>
      </w:r>
      <w:r w:rsidR="006801DB">
        <w:rPr>
          <w:rFonts w:eastAsia="Times New Roman"/>
          <w:b/>
          <w:bCs/>
          <w:i/>
          <w:sz w:val="24"/>
          <w:szCs w:val="24"/>
        </w:rPr>
        <w:t xml:space="preserve">№ </w:t>
      </w:r>
      <w:r w:rsidR="00CA3A65">
        <w:rPr>
          <w:rFonts w:eastAsia="Times New Roman"/>
          <w:b/>
          <w:bCs/>
          <w:i/>
          <w:sz w:val="24"/>
          <w:szCs w:val="24"/>
        </w:rPr>
        <w:t>3</w:t>
      </w:r>
      <w:r w:rsidRPr="000F6385">
        <w:rPr>
          <w:rFonts w:eastAsia="Times New Roman"/>
          <w:b/>
          <w:bCs/>
          <w:i/>
          <w:sz w:val="24"/>
          <w:szCs w:val="24"/>
        </w:rPr>
        <w:t>а</w:t>
      </w:r>
    </w:p>
    <w:p w:rsidR="00650BE6" w:rsidRPr="000F6385" w:rsidRDefault="00650BE6" w:rsidP="000F6385">
      <w:pPr>
        <w:spacing w:line="250" w:lineRule="exact"/>
        <w:jc w:val="center"/>
        <w:rPr>
          <w:b/>
          <w:sz w:val="24"/>
          <w:szCs w:val="24"/>
        </w:rPr>
      </w:pPr>
    </w:p>
    <w:p w:rsidR="00524A8E" w:rsidRDefault="000F6385" w:rsidP="000F6385">
      <w:pPr>
        <w:spacing w:line="211" w:lineRule="exact"/>
        <w:jc w:val="center"/>
        <w:rPr>
          <w:b/>
          <w:sz w:val="24"/>
          <w:szCs w:val="24"/>
        </w:rPr>
      </w:pPr>
      <w:r w:rsidRPr="000F6385">
        <w:rPr>
          <w:b/>
          <w:sz w:val="24"/>
          <w:szCs w:val="24"/>
        </w:rPr>
        <w:t>Списък на общите индикатори в областта на регионалната политика и за постигане на растеж и заетост чрез ЕСИФ за периода 2021-2027 г.</w:t>
      </w:r>
      <w:r w:rsidR="00B752F6">
        <w:rPr>
          <w:b/>
          <w:sz w:val="24"/>
          <w:szCs w:val="24"/>
          <w:lang w:val="en-US"/>
        </w:rPr>
        <w:t xml:space="preserve"> </w:t>
      </w:r>
    </w:p>
    <w:p w:rsidR="00650BE6" w:rsidRPr="00B752F6" w:rsidRDefault="00B752F6" w:rsidP="000F6385">
      <w:pPr>
        <w:spacing w:line="211" w:lineRule="exact"/>
        <w:jc w:val="center"/>
        <w:rPr>
          <w:b/>
          <w:sz w:val="24"/>
          <w:szCs w:val="24"/>
          <w:lang w:val="en-US"/>
        </w:rPr>
      </w:pPr>
      <w:r w:rsidRPr="00B752F6">
        <w:rPr>
          <w:b/>
          <w:i/>
          <w:sz w:val="24"/>
          <w:szCs w:val="24"/>
          <w:lang w:val="en-US"/>
        </w:rPr>
        <w:t>(</w:t>
      </w:r>
      <w:r w:rsidRPr="00B752F6">
        <w:rPr>
          <w:b/>
          <w:i/>
          <w:sz w:val="24"/>
          <w:szCs w:val="24"/>
        </w:rPr>
        <w:t>Съгласно проекта на Регламент за ЕФРР за периода 2021-2027</w:t>
      </w:r>
      <w:r w:rsidRPr="00B752F6">
        <w:rPr>
          <w:b/>
          <w:i/>
          <w:sz w:val="24"/>
          <w:szCs w:val="24"/>
          <w:lang w:val="en-US"/>
        </w:rPr>
        <w:t>)</w:t>
      </w:r>
    </w:p>
    <w:p w:rsidR="000F6385" w:rsidRDefault="000F6385">
      <w:pPr>
        <w:spacing w:line="211" w:lineRule="exact"/>
        <w:rPr>
          <w:sz w:val="20"/>
          <w:szCs w:val="20"/>
        </w:rPr>
      </w:pPr>
    </w:p>
    <w:p w:rsidR="000F6385" w:rsidRDefault="000F6385">
      <w:pPr>
        <w:spacing w:line="233" w:lineRule="auto"/>
        <w:ind w:left="20" w:right="520"/>
        <w:rPr>
          <w:rFonts w:eastAsia="Times New Roman"/>
          <w:b/>
          <w:bCs/>
        </w:rPr>
      </w:pPr>
    </w:p>
    <w:p w:rsidR="00650BE6" w:rsidRDefault="000F6385">
      <w:pPr>
        <w:spacing w:line="233" w:lineRule="auto"/>
        <w:ind w:left="20" w:right="520"/>
        <w:rPr>
          <w:sz w:val="20"/>
          <w:szCs w:val="20"/>
        </w:rPr>
      </w:pPr>
      <w:r>
        <w:rPr>
          <w:rFonts w:eastAsia="Times New Roman"/>
          <w:b/>
          <w:bCs/>
        </w:rPr>
        <w:t>Таблица 1: Общи показатели за крайния продукт и за резултатите за ЕФРР (по цели „Инвестиции за растеж и работни места“ и „Interreg“) и Кохезионния фонд**</w:t>
      </w:r>
    </w:p>
    <w:p w:rsidR="00650BE6" w:rsidRDefault="00650BE6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6760"/>
        <w:gridCol w:w="280"/>
        <w:gridCol w:w="30"/>
      </w:tblGrid>
      <w:tr w:rsidR="00650BE6" w:rsidRPr="000F6385">
        <w:trPr>
          <w:trHeight w:val="34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Цел на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Краен продукт</w:t>
            </w:r>
          </w:p>
        </w:tc>
        <w:tc>
          <w:tcPr>
            <w:tcW w:w="6760" w:type="dxa"/>
            <w:vMerge w:val="restart"/>
            <w:tcBorders>
              <w:top w:val="single" w:sz="8" w:space="0" w:color="auto"/>
            </w:tcBorders>
            <w:vAlign w:val="bottom"/>
          </w:tcPr>
          <w:p w:rsidR="00650BE6" w:rsidRPr="000F6385" w:rsidRDefault="000F6385">
            <w:pPr>
              <w:ind w:left="144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sz w:val="20"/>
                <w:szCs w:val="20"/>
              </w:rPr>
              <w:t>Резултати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политиката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3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2641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0F6385">
            <w:pPr>
              <w:ind w:right="3044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RCO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2</w:t>
            </w:r>
            <w:r w:rsidRPr="000F6385">
              <w:rPr>
                <w:rFonts w:eastAsia="Times New Roman"/>
                <w:sz w:val="19"/>
                <w:szCs w:val="19"/>
              </w:rPr>
              <w:t>01 — Предприятия, получаващи подкрепа (микро-,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малки, средни и големи предприятия)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02 — Предприятия, получаващи подкрепа чрез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безвъзмездни средства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bookmarkStart w:id="1" w:name="_GoBack"/>
            <w:bookmarkEnd w:id="1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1. По-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03 — Предприятия, получаващи подкрепа чрез</w:t>
            </w: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3</w:t>
            </w:r>
            <w:r w:rsidRPr="000F6385">
              <w:rPr>
                <w:rFonts w:eastAsia="Times New Roman"/>
                <w:sz w:val="20"/>
                <w:szCs w:val="20"/>
              </w:rPr>
              <w:t>01 — Работни места, създадени в подкрепяните структури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финансови инструменти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интелигентна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04 — Предприятия, получаващи нефинансова подкрепа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02 — Частни инвестиции, допълващи публичната подкрепа (безвъзмездни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0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чрез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05 — Стартиращи предприятия, които получават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9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средства, финансови инструменти)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03 — МСП, въвеждащи иновативен продукт или процес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6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 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8"/>
                <w:szCs w:val="18"/>
              </w:rPr>
              <w:t>подкрепа</w:t>
            </w:r>
            <w:r w:rsidRPr="000F6385">
              <w:rPr>
                <w:rFonts w:eastAsia="Times New Roman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06 — Изследователи, работещи в подкрепяни обекти за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7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6"/>
                <w:szCs w:val="16"/>
              </w:rPr>
              <w:t>RCR 04 — МСП, въвеждащи иновация в маркетинга или организацията</w:t>
            </w:r>
            <w:r w:rsidRPr="000F6385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иновативния 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05 — МСП, въвеждащи иновация на равнището на предприятието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научни изследвания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интелигентен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06 — Заявка за патент, подадена пред Европейското патентно ведомство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07 — Научноизследователски институции, участващи в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икономически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съвместни проекти за научни изследвания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8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RCR 07 — Заявки за марка и дизайн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8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преход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08 — Публично-частни съвместни публикации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0F6385">
        <w:trPr>
          <w:trHeight w:val="8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08 — Номинална стойност на оборудването за научни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изследвания и иновации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 — Предприятия, които си сътрудничат с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научноизследователски институции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96 — Междурегионални инвестиции в проекти на 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73FBC17" wp14:editId="131F9D38">
                <wp:simplePos x="0" y="0"/>
                <wp:positionH relativeFrom="column">
                  <wp:posOffset>8890</wp:posOffset>
                </wp:positionH>
                <wp:positionV relativeFrom="paragraph">
                  <wp:posOffset>635000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0pt" to="144.7pt,50pt" o:allowincell="f" strokecolor="#000000" strokeweight="0.59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7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213" w:lineRule="auto"/>
        <w:ind w:left="500" w:right="80" w:hanging="486"/>
        <w:jc w:val="both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18"/>
          <w:szCs w:val="18"/>
        </w:rPr>
        <w:t>Да се използват за целите „Инвестиции за растеж и работни места“ и „Interreg“ в съответствие с член [12, параграф 1], втора алинея, буква а) и член [36, параграф 2 [предаване на данни], буква б) от Регламент (ЕС) [новия регламент за общоприложимите разпоредби (РОР)], за целта „Инвестиции за растеж и работни места“ — в съответствие с член [17, параграф 3], буква г), подточка ii) от Регламент (ЕС) [новия регламент за общоприложимите разпоредби (РОР)], и за целта „Interreg“ — в съответствие с член 17, параграф 4, буква д), подточка ii) от Регламент (ЕС) [нов регламент за ЕТС]</w:t>
      </w:r>
    </w:p>
    <w:p w:rsidR="00650BE6" w:rsidRPr="000F6385" w:rsidRDefault="00650BE6">
      <w:pPr>
        <w:spacing w:line="3" w:lineRule="exact"/>
        <w:rPr>
          <w:rFonts w:eastAsia="Times New Roman"/>
          <w:sz w:val="26"/>
          <w:szCs w:val="26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0" w:lineRule="auto"/>
        <w:ind w:left="500" w:hanging="486"/>
        <w:rPr>
          <w:rFonts w:eastAsia="Times New Roman"/>
          <w:sz w:val="24"/>
          <w:szCs w:val="24"/>
          <w:vertAlign w:val="superscript"/>
        </w:rPr>
      </w:pPr>
      <w:r w:rsidRPr="000F6385">
        <w:rPr>
          <w:rFonts w:eastAsia="Times New Roman"/>
          <w:sz w:val="18"/>
          <w:szCs w:val="18"/>
        </w:rPr>
        <w:t>RCO: Общ показател за крайния продукт на регионалната политика</w:t>
      </w:r>
    </w:p>
    <w:p w:rsidR="00650BE6" w:rsidRPr="000F6385" w:rsidRDefault="00650BE6">
      <w:pPr>
        <w:spacing w:line="16" w:lineRule="exact"/>
        <w:rPr>
          <w:rFonts w:eastAsia="Times New Roman"/>
          <w:sz w:val="24"/>
          <w:szCs w:val="24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1" w:lineRule="auto"/>
        <w:ind w:left="500" w:hanging="486"/>
        <w:rPr>
          <w:rFonts w:eastAsia="Times New Roman"/>
          <w:vertAlign w:val="superscript"/>
        </w:rPr>
      </w:pPr>
      <w:r w:rsidRPr="000F6385">
        <w:rPr>
          <w:rFonts w:eastAsia="Times New Roman"/>
          <w:sz w:val="17"/>
          <w:szCs w:val="17"/>
        </w:rPr>
        <w:t>RCR: Общ показател за резултатите на регионалната политика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lastRenderedPageBreak/>
        <w:t>1</w:t>
      </w:r>
    </w:p>
    <w:p w:rsidR="00650BE6" w:rsidRPr="000F6385" w:rsidRDefault="00650BE6">
      <w:pPr>
        <w:sectPr w:rsidR="00650BE6" w:rsidRPr="000F6385">
          <w:pgSz w:w="16840" w:h="11908" w:orient="landscape"/>
          <w:pgMar w:top="1414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7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12 — Предприятия,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11 — Потребители на нови обществени цифрови услуги и приложения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цифровизиране на своите продукти и услуги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12 — Потребители на нови цифрови продукти, услуги и приложения,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13 — Цифрови услуги и продукти, разработени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разработени от предприятия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предприятията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13 — Предприятия, постигащи висок интензитет на цифровите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14 — Публични институции,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технологии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разработване на цифрови услуги и приложения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14 — Предприятия, които използват публични цифрови услуги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16 — Подкрепяни предприятия с висок темп на растеж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17 — 3-годишни предприятия, оцеляващи на пазара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15 — Създаден капацитет за инкубация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18 — МСП, които използват инкубаторни услуги една година след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създаването на бизнес инкубатора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19 — Предприятия с голям оборот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5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25 — Добавена стойност на служител в подпомаганите МСП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24 — МСП, които се възползват от дейности за развитие на умения,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осъществявани чрез местна/регионална екосистема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97 — Подпомагани стажове в МСП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16 — Заинтересовани страни, участващи в процеса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98 — Служители на МСП, които са преминали продължаващо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опознаване на сферата на предприемачеството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професионално образование и обучение (продължаващо ПОО) (по видове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17 — Инвестиции в регионални/местни екосистеми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умения: технически, управленски, предприемачески, екологични, 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умения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99 — Служители на МСП, които са преминали алтернативно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101 — МСП, инвестиращи в развитие на уменията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дейности в областта на услугите с интензивно развитие на знанията (KISA) (по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102 — МСП, инвестиращи в системите за управление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видове умения: технически, управленски, предприемачески, екологични,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обучението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100 — Служители на МСП, които са преминали официално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знанията (KISA) (по видове умения: технически, управленски,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предприемачески, екологични, други)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1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2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3" w:name="page4"/>
    <w:bookmarkEnd w:id="3"/>
    <w:p w:rsidR="00650BE6" w:rsidRPr="000F6385" w:rsidRDefault="000F6385">
      <w:pPr>
        <w:spacing w:line="20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DF1F2C" wp14:editId="10BBACCF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5013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3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65.6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62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2"/>
        </w:numPr>
        <w:tabs>
          <w:tab w:val="left" w:pos="432"/>
        </w:tabs>
        <w:spacing w:line="234" w:lineRule="auto"/>
        <w:ind w:left="-20" w:firstLine="238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По-зелена, нисковъглеродна</w:t>
      </w:r>
    </w:p>
    <w:p w:rsidR="00650BE6" w:rsidRPr="000F6385" w:rsidRDefault="000F6385">
      <w:pPr>
        <w:ind w:left="2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насърчаване на</w:t>
      </w:r>
    </w:p>
    <w:p w:rsidR="00650BE6" w:rsidRPr="000F6385" w:rsidRDefault="000F6385">
      <w:pPr>
        <w:ind w:left="5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чист и</w:t>
      </w:r>
    </w:p>
    <w:p w:rsidR="00650BE6" w:rsidRPr="000F6385" w:rsidRDefault="000F6385">
      <w:pPr>
        <w:ind w:left="2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справедлив</w:t>
      </w:r>
    </w:p>
    <w:p w:rsidR="00650BE6" w:rsidRPr="000F6385" w:rsidRDefault="000F6385">
      <w:pPr>
        <w:ind w:left="2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енергиен преход,</w:t>
      </w:r>
    </w:p>
    <w:p w:rsidR="00650BE6" w:rsidRPr="000F6385" w:rsidRDefault="00650BE6">
      <w:pPr>
        <w:spacing w:line="12" w:lineRule="exact"/>
        <w:rPr>
          <w:rFonts w:eastAsia="Times New Roman"/>
          <w:b/>
          <w:bCs/>
        </w:rPr>
      </w:pPr>
    </w:p>
    <w:p w:rsidR="00650BE6" w:rsidRPr="000F6385" w:rsidRDefault="000F6385">
      <w:pPr>
        <w:spacing w:line="238" w:lineRule="auto"/>
        <w:ind w:firstLine="170"/>
        <w:jc w:val="center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зелени и сини инвестиции, кръгова икономика, приспособяване към изменението на климата и превенция и управление на риска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960"/>
        <w:gridCol w:w="3380"/>
        <w:gridCol w:w="1700"/>
        <w:gridCol w:w="30"/>
      </w:tblGrid>
      <w:tr w:rsidR="00650BE6" w:rsidRPr="000F6385">
        <w:trPr>
          <w:trHeight w:val="768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26 — Годишно крайно потребление на енергия (за следните цели: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18 — Домакинства, получили подкрепа за подобряване на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жилищни, частни 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енергийните характеристики на жилището си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27 — Домакинства с подобрени енергийни характеристики на своите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19 — Обществени сгради, получили подкрепа за</w:t>
            </w:r>
          </w:p>
        </w:tc>
        <w:tc>
          <w:tcPr>
            <w:tcW w:w="196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жилища</w:t>
            </w: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подобряване на енергийните им характеристики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28 — Сгради с подобрена енергийна класификация (жилищни, частни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20 — Новопостроени или подобрени регионални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мрежови линии за отопление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29 — Очаквани емисии на парникови газове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30 — Предприятия с подобрени енергийни характеристики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6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22 — Допълнителен капацитет за производство 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31 — Общо произведена енергия от възобновяеми източници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 от възобновяеми източници (електроенергия, топлинна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(електроенергия, топлинна енергия)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енергия)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32 — Енергия от възобновяеми източници: капацитет, свързан към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8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97 — Брой на подкрепяните енергийни общности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мрежата (оперативен)</w:t>
            </w:r>
          </w:p>
        </w:tc>
        <w:tc>
          <w:tcPr>
            <w:tcW w:w="3380" w:type="dxa"/>
            <w:vAlign w:val="bottom"/>
          </w:tcPr>
          <w:p w:rsidR="00650BE6" w:rsidRPr="000F6385" w:rsidRDefault="000F6385">
            <w:pPr>
              <w:spacing w:line="115" w:lineRule="exact"/>
              <w:ind w:right="32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общности за енергия от възобновяеми източници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23 — Цифрови системи за управление на интелигентни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 мрежи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33 — Потребители, свързани към интелигентни енергийни мрежи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98 — Домакинства, подкрепяни за използването 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34 — Въвеждане на проекти за интелигентни мрежи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интелигентни енергийни мрежи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0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4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24 — Нови или усъвършенствани системи за наблюдение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бедствия, за готовност и за предупреждение и реагиране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Align w:val="bottom"/>
          </w:tcPr>
          <w:p w:rsidR="00650BE6" w:rsidRPr="000F6385" w:rsidRDefault="00650BE6"/>
        </w:tc>
        <w:tc>
          <w:tcPr>
            <w:tcW w:w="3380" w:type="dxa"/>
            <w:vAlign w:val="bottom"/>
          </w:tcPr>
          <w:p w:rsidR="00650BE6" w:rsidRPr="000F6385" w:rsidRDefault="00650BE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25 — Новопостроени или консолидирани защитни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35 — Жители, които се ползват от мерки за защита от наводнения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съоръжения по крайбрежни ивици, речни и езерни брегове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36 — Жители, които се ползват от мерки за защита от горски пожари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свлачища за защита на хора, активи и естествената околна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37 — Жители, които се ползват от мерки за защита срещу природни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среда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бедствия, свързани с климата (различни от наводнения и горски пожари)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26 — Зелена инфраструктура, изградена с цел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7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96 — Жители, които се ползват от мерки за защита срещу несвързани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климата природни рискове и рискове, свързани с дейности на човека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27 — Национални/регионални/местни стратегии за</w:t>
            </w: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38 — Очаквано средно време за реагиране при бедствие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58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28 — Зони, обхванати от мерки за защита срещу горски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пожари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E1422A" wp14:editId="7EB40B3D">
                <wp:simplePos x="0" y="0"/>
                <wp:positionH relativeFrom="column">
                  <wp:posOffset>-1235710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7.2999pt,-0.1999pt" to="636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240" w:header="0" w:footer="0" w:gutter="0"/>
          <w:cols w:num="2" w:space="708" w:equalWidth="0">
            <w:col w:w="1720" w:space="100"/>
            <w:col w:w="1272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5" w:lineRule="exact"/>
        <w:rPr>
          <w:sz w:val="20"/>
          <w:szCs w:val="20"/>
        </w:rPr>
      </w:pPr>
    </w:p>
    <w:p w:rsidR="00650BE6" w:rsidRPr="000F6385" w:rsidRDefault="000F6385">
      <w:pPr>
        <w:ind w:right="18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3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240" w:header="0" w:footer="0" w:gutter="0"/>
          <w:cols w:space="708" w:equalWidth="0">
            <w:col w:w="1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30 — Дължина на новите или консолидираните тръби за</w:t>
            </w: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41 — Жители, свързани към подобрени системи за снабдяване с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битови нужди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42 — Жители, свързани поне към системи за вторично пречистване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31 — Дължина на мрежите за събиране на отпадъчни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води, новоизградени или консолидирани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43 — Загуби на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32 — Нов или подобрен капацитет за пречистване на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44 — Адекватно третирани 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46 — Жители, обслужвани от съоръжения за рециклиране на отпадъци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34 — Допълнителен капацитет за рециклиране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 системи за управление на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47 — Рециклирани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отпадъци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48 — Рециклирани отпадъци, използвани като суровини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49 — Възстановени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36 — Повърхностна площ на подкрепяната зелена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37 — Площ на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50 — Жители, които се ползват от мерки по отношение на качеството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 в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въздуха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съответствие с рамката за приоритетни действия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95 — Жители, които имат достъп до нова или модернизирана зелена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99 — Площ извън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51 — Жители, които се ползват от мерки за намаляване на шума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38 — Повърхностна площ на възстановената земя,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52 — Възстановяване на земя, използвана за зелени площи, социално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която се отпуска подкрепа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жилищно настаняване, икономически или общностни дейности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39 — Инсталирани системи за мониторинг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замърсяването на атмосферния въздух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47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4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5" w:name="page6"/>
    <w:bookmarkEnd w:id="5"/>
    <w:p w:rsidR="00650BE6" w:rsidRPr="000F6385" w:rsidRDefault="000F6385">
      <w:pPr>
        <w:spacing w:line="13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201606" wp14:editId="55F9CF8D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42608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06.35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0F6385">
      <w:pPr>
        <w:numPr>
          <w:ilvl w:val="0"/>
          <w:numId w:val="3"/>
        </w:numPr>
        <w:tabs>
          <w:tab w:val="left" w:pos="515"/>
        </w:tabs>
        <w:spacing w:line="234" w:lineRule="auto"/>
        <w:ind w:left="406" w:right="160" w:hanging="105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По-добре свързана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подобряване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на</w:t>
      </w:r>
    </w:p>
    <w:p w:rsidR="00650BE6" w:rsidRPr="000F6385" w:rsidRDefault="00650BE6">
      <w:pPr>
        <w:spacing w:line="12" w:lineRule="exact"/>
        <w:rPr>
          <w:sz w:val="20"/>
          <w:szCs w:val="20"/>
        </w:rPr>
      </w:pP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1"/>
          <w:szCs w:val="21"/>
        </w:rPr>
        <w:t>мобилността и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регионалната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свързаност 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ИКТ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9C3939" wp14:editId="634C3A37">
                <wp:simplePos x="0" y="0"/>
                <wp:positionH relativeFrom="column">
                  <wp:posOffset>0</wp:posOffset>
                </wp:positionH>
                <wp:positionV relativeFrom="paragraph">
                  <wp:posOffset>3877945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05.35pt" to="144pt,305.35pt" o:allowincell="f" strokecolor="#000000" strokeweight="0.6pt"/>
            </w:pict>
          </mc:Fallback>
        </mc:AlternateConten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7180"/>
        <w:gridCol w:w="30"/>
      </w:tblGrid>
      <w:tr w:rsidR="00650BE6" w:rsidRPr="000F6385">
        <w:trPr>
          <w:trHeight w:val="346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41 — Допълнителeн брой домакинства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53 — Домакинства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42 — Допълнителeн брой предприятия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54 — Предприятия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2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43 — Дължина на новите пътища, получили подкрепа —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TEN-T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55 — Ползватели на новоизградени, реконструирани или модернизирани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44 — Дължина на новите пътища, получили подкрепа —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8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56 — Спестено време вследствие на подобрената пътна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45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101 — Спестено време вследствие на подобрената железопътна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46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други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47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TEN-T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48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49 — Дължина на реконструираните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TEN-T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57 — Дължина на железопътните линии в експлоатация, оборудвани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50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Европейската система за управление на железопътното движение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58 — Годишен брой пътници по подпомаганите железопътни линии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51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59 — Товарни превози с железопътен транспорт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60 — Товарни превози по вътрешни водни 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52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53 — Железопътни гари и съоръжения — нови 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54 — Интермодални връзки — нови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100 — Брой на пристанищата, получили подкрепа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622937" wp14:editId="16D43000">
                <wp:simplePos x="0" y="0"/>
                <wp:positionH relativeFrom="column">
                  <wp:posOffset>-1121410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2999pt,-0.1999pt" to="645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34" w:header="0" w:footer="0" w:gutter="0"/>
          <w:cols w:num="2" w:space="708" w:equalWidth="0">
            <w:col w:w="1586" w:space="160"/>
            <w:col w:w="1290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09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4"/>
        </w:numPr>
        <w:tabs>
          <w:tab w:val="left" w:pos="486"/>
        </w:tabs>
        <w:spacing w:line="204" w:lineRule="auto"/>
        <w:ind w:left="486" w:right="80" w:hanging="486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20"/>
          <w:szCs w:val="20"/>
        </w:rPr>
        <w:t>Регламент (ЕС) № 1315/2013 на Европейския парламент и на Съвета от 11 декември 2013 г. относно насоките на Съюза за развитието на трансевропейската транспортна мрежа и за отмяна на Решение № 661/2010/ЕО (ОВ L 348, 20.12.2013 г., стр. 1).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0F6385">
      <w:pPr>
        <w:ind w:right="74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5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134" w:header="0" w:footer="0" w:gutter="0"/>
          <w:cols w:space="708" w:equalWidth="0">
            <w:col w:w="146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80"/>
        <w:gridCol w:w="4940"/>
        <w:gridCol w:w="780"/>
        <w:gridCol w:w="640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55 — Дължина на новите трамвайни линии и линии на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56 — Дължина на реконструираните или модернизираните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62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обществения транспорт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Екологосъобразен подвижен състав за обществения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нови/модернизирани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велосипедна инфраструктура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лицата, използващи специално предназначената</w:t>
            </w: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инфраструктура за алтернативни горива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велосипедна инфраструктура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(пунктове за зареждане)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Градове с нови или модернизирани цифровизирани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системи за градски транспорт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4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6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7" w:name="page8"/>
            <w:bookmarkEnd w:id="7"/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61 — Годишен брой на безработните лица, обслужвани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65 — Търсещи работа лица, които използват годишно услугите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чрез подобрени съоръжения на службите по заетостта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подкрепяните служби по заетостта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(капацитет)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63 — Капацитет на създадената временна инфраструктура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66 — Брой на заетите жилища от построената или реновираната временна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настаняване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настаняване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64 — Капацитет на рехабилитираните жилища — за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67 — Брой на заетите рехабилитирани жилища — за мигранти, бежанци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мигранти, бежанци и лица, намиращи се под или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лица, намиращи се под или кандидатстващи за международна закрила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4. По-социална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кандидатстващи за международна закрила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68 — Брой на заетите рехабилитирани жилища — други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65 — Капацитет на рехабилитираните жилища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—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66 — Капацитет на класните стаи на подкрепяната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70 — Годишен брой на децата, използващи подкрепяната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реализиране на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европейския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грижи за деца (нови или модернизирани)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грижи за деца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стълб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67 — Капацитет на класните стаи на подкрепяната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71 — Годишен брой на децата, използващи подкрепяната образователна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7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социалните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образователна инфраструктура (нови или модернизирани)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9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права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72 — Лица с достъп до подобрени здравни услуги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69 — Капацитет на подкрепяната инфраструктура за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73 — Годишен брой на лицата, които използват подкрепяните здравни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здравни грижи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74 — Годишен брой на лицата, които използват подкрепяните съоръжения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70 — Капацитет на подкрепяната социална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социални грижи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(различна от жилищна)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75 — Средно време за реагиране при спешни медицински случаи в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подкрепяната област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4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5. Европа по-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74 — Жители, обхванати от стратегии за интегрирано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близо до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76 — Заинтересовани страни, участващи в подготовката и прилагането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гражданите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75 — Интегрирани стратегии за 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стратегиите за градско развитие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чрез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76 — Съвместни проекти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RCR 77 — Туристи/посещения в подпомогнатите обекти</w:t>
            </w:r>
            <w:r w:rsidRPr="000F6385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77 — Капацитет на подкрепяната инфраструктура в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78 — Ползватели на подкрепяната културна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областта на културата и туризма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 устойчивото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 интегрирано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развитие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градските,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селските 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80 — Водени от общностите стратегии за местно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крайбрежните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43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райони и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местните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инициативи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9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7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p w:rsidR="00650BE6" w:rsidRPr="000F6385" w:rsidRDefault="00650BE6">
      <w:pPr>
        <w:spacing w:line="373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>
        <w:trPr>
          <w:trHeight w:val="3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91 — Средно време за отправяне на покани, избор на проекти и подписване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договори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92 — Средно време за възлагане на обществени поръчки (от началото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Хоризонтални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95 — Персонал, финансиран от ЕФРР и Кохезионния фонд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процедурата до подписването на договор)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— Изпълнение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93 — Средно време за изпълнение на проект (от момента на подписване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8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договора до последното плащане)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94 — Единна тръжна процедура за интервенции по ЕФРР и Кохезионния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фонд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125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5"/>
        </w:numPr>
        <w:tabs>
          <w:tab w:val="left" w:pos="276"/>
        </w:tabs>
        <w:spacing w:line="236" w:lineRule="auto"/>
        <w:ind w:left="20" w:right="80" w:hanging="6"/>
        <w:jc w:val="both"/>
        <w:rPr>
          <w:rFonts w:eastAsia="Times New Roman"/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За целите на представянето показателите са групирани в дадена политическа цел, но не са ограничени до нея. По-специално конкретни цели от целите на политиката 1—4 могат да бъдат използвани по цел на политиката 5 със съответните показатели. Освен това, за да се представи пълна картина на очакваните и действителните резултати от програмите, когато е приложимо, показателите, отбелязани с (*), могат да се използват за конкретни цели в повече от една от политическите цели 1—4.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0F6385">
      <w:pPr>
        <w:ind w:left="20"/>
        <w:rPr>
          <w:sz w:val="20"/>
          <w:szCs w:val="20"/>
        </w:rPr>
      </w:pPr>
      <w:r w:rsidRPr="000F6385">
        <w:rPr>
          <w:rFonts w:eastAsia="Times New Roman"/>
          <w:b/>
          <w:bCs/>
        </w:rPr>
        <w:t>Таблица 2: Допълнителни общи показатели за крайния продукт и за резултатите за ЕФРР по отношение на Interreg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421DC7" wp14:editId="347D5AD2">
                <wp:simplePos x="0" y="0"/>
                <wp:positionH relativeFrom="column">
                  <wp:posOffset>-62230</wp:posOffset>
                </wp:positionH>
                <wp:positionV relativeFrom="paragraph">
                  <wp:posOffset>4445</wp:posOffset>
                </wp:positionV>
                <wp:extent cx="90360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0.35pt" to="706.6pt,0.35pt" o:allowincell="f" strokecolor="#000000" strokeweight="0.48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1209F9" wp14:editId="77156D92">
                <wp:simplePos x="0" y="0"/>
                <wp:positionH relativeFrom="column">
                  <wp:posOffset>-59055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0.15pt" to="-4.6499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196B42" wp14:editId="46348823">
                <wp:simplePos x="0" y="0"/>
                <wp:positionH relativeFrom="column">
                  <wp:posOffset>1360170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1pt,0.15pt" to="107.1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57734A" wp14:editId="7DEED025">
                <wp:simplePos x="0" y="0"/>
                <wp:positionH relativeFrom="column">
                  <wp:posOffset>5230495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85pt,0.15pt" to="411.85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B41BB8" wp14:editId="11983A7D">
                <wp:simplePos x="0" y="0"/>
                <wp:positionH relativeFrom="column">
                  <wp:posOffset>-62230</wp:posOffset>
                </wp:positionH>
                <wp:positionV relativeFrom="paragraph">
                  <wp:posOffset>2942590</wp:posOffset>
                </wp:positionV>
                <wp:extent cx="90360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231.7pt" to="706.6pt,231.7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087C51" wp14:editId="1895FE07">
                <wp:simplePos x="0" y="0"/>
                <wp:positionH relativeFrom="column">
                  <wp:posOffset>8970645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6.35pt,0.15pt" to="706.35pt,231.95pt" o:allowincell="f" strokecolor="#000000" strokeweight="0.4799pt"/>
            </w:pict>
          </mc:Fallback>
        </mc:AlternateContent>
      </w:r>
    </w:p>
    <w:p w:rsidR="00650BE6" w:rsidRPr="000F6385" w:rsidRDefault="00650BE6">
      <w:pPr>
        <w:sectPr w:rsidR="00650BE6" w:rsidRPr="000F6385"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99" w:lineRule="exact"/>
        <w:rPr>
          <w:sz w:val="20"/>
          <w:szCs w:val="20"/>
        </w:rPr>
      </w:pPr>
    </w:p>
    <w:p w:rsidR="00650BE6" w:rsidRPr="000F6385" w:rsidRDefault="000F6385">
      <w:pPr>
        <w:spacing w:line="234" w:lineRule="auto"/>
        <w:ind w:left="20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0"/>
          <w:szCs w:val="20"/>
        </w:rPr>
        <w:t>Специфични показатели за Interreg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58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1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81 — Участници в инициативи за трансгранична мобилност RCO 82 — Участници в съвместни действия за насърчаване на равенството между половете, равните възможности и социалното приобщаване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83 — Съвместни стратегии/планове за действие, разработени или изпълнени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84 — Съвместни пилотни дейности, изпълнявани по проекти RCO 85 — Участници в съвместни схеми за обучение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96 — Идентифицирани правни или административни пречки RCO 86 — Подписани съвместни административни или правни споразумения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8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87 — Организации, осъществяващи трансгранично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88 — Трансгранични проекти за партньорско обучение с цел засилване на дейностите за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8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89 — Трансгранични проекти с цел подобряване на многостепенното управление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18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6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79 — Съвместни стратегии/планове за действие, предприети от организации при/след приключването на проект RCR 80 — Съвместни пилотни дейности,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16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предприети/усъвършенствани от организации при/след приключването на проект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0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81 — Участници, които приключват съвместни схеми за обучение</w:t>
      </w:r>
    </w:p>
    <w:p w:rsidR="00650BE6" w:rsidRPr="000F6385" w:rsidRDefault="00650BE6">
      <w:pPr>
        <w:spacing w:line="22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82 — Правни или административни пречки, които са преодолени или смекчени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6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83 — Лица, обхванати от подписаните съвместни споразумения</w:t>
      </w:r>
    </w:p>
    <w:p w:rsidR="00650BE6" w:rsidRPr="000F6385" w:rsidRDefault="00650BE6">
      <w:pPr>
        <w:spacing w:line="20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9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84 — Организации, които осъществяват трансгранично сътрудничество 6—12 месеца след приключването на проект RCR 85 — Участници в съвместни действия 6—12 месеца след приключването на проект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20" w:firstLine="5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86 — Заинтересовани страни/институции с повишен капацитет за трансгранично сътрудничество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num="3" w:space="708" w:equalWidth="0">
            <w:col w:w="2040" w:space="200"/>
            <w:col w:w="5720" w:space="380"/>
            <w:col w:w="6320"/>
          </w:cols>
        </w:sectPr>
      </w:pPr>
    </w:p>
    <w:p w:rsidR="00650BE6" w:rsidRPr="000F6385" w:rsidRDefault="00650BE6">
      <w:pPr>
        <w:spacing w:line="395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8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bookmarkStart w:id="9" w:name="page10"/>
    <w:bookmarkEnd w:id="9"/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3F1AC6" wp14:editId="08F2FBAB">
                <wp:simplePos x="0" y="0"/>
                <wp:positionH relativeFrom="page">
                  <wp:posOffset>648335</wp:posOffset>
                </wp:positionH>
                <wp:positionV relativeFrom="page">
                  <wp:posOffset>902335</wp:posOffset>
                </wp:positionV>
                <wp:extent cx="90366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71.05pt" to="762.6pt,71.05pt" o:allowincell="f" strokecolor="#000000" strokeweight="0.48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AD8B83" wp14:editId="58CE09DD">
                <wp:simplePos x="0" y="0"/>
                <wp:positionH relativeFrom="page">
                  <wp:posOffset>651510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3pt,70.85pt" to="51.3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5D4510" wp14:editId="5C2F7896">
                <wp:simplePos x="0" y="0"/>
                <wp:positionH relativeFrom="page">
                  <wp:posOffset>2071370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.1pt,70.85pt" to="163.1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320369" wp14:editId="2DB9A2B8">
                <wp:simplePos x="0" y="0"/>
                <wp:positionH relativeFrom="page">
                  <wp:posOffset>5941695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5pt,70.85pt" to="467.8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5A442F0" wp14:editId="49A8BFB6">
                <wp:simplePos x="0" y="0"/>
                <wp:positionH relativeFrom="page">
                  <wp:posOffset>648335</wp:posOffset>
                </wp:positionH>
                <wp:positionV relativeFrom="page">
                  <wp:posOffset>1244600</wp:posOffset>
                </wp:positionV>
                <wp:extent cx="90366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98pt" to="762.6pt,98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9CF90BE" wp14:editId="5AF0AAE1">
                <wp:simplePos x="0" y="0"/>
                <wp:positionH relativeFrom="page">
                  <wp:posOffset>9681845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62.35pt,70.85pt" to="762.3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sz w:val="20"/>
          <w:szCs w:val="20"/>
        </w:rPr>
        <w:t>RCO 90 — Трансгранични проекти, водещи до създаване на</w:t>
      </w:r>
    </w:p>
    <w:p w:rsidR="00650BE6" w:rsidRPr="000F6385" w:rsidRDefault="00650BE6">
      <w:pPr>
        <w:spacing w:line="35" w:lineRule="exact"/>
        <w:rPr>
          <w:sz w:val="20"/>
          <w:szCs w:val="20"/>
        </w:rPr>
      </w:pPr>
    </w:p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мрежи/клъстери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400" w:lineRule="exact"/>
        <w:rPr>
          <w:sz w:val="20"/>
          <w:szCs w:val="20"/>
        </w:rPr>
      </w:pPr>
    </w:p>
    <w:p w:rsidR="00650BE6" w:rsidRPr="000F6385" w:rsidRDefault="000F6385">
      <w:pPr>
        <w:ind w:right="-1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9</w:t>
      </w:r>
    </w:p>
    <w:sectPr w:rsidR="00650BE6" w:rsidRPr="000F6385">
      <w:pgSz w:w="16840" w:h="11908" w:orient="landscape"/>
      <w:pgMar w:top="1422" w:right="1440" w:bottom="149" w:left="1440" w:header="0" w:footer="0" w:gutter="0"/>
      <w:cols w:space="708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7E229CC"/>
    <w:lvl w:ilvl="0" w:tplc="D2023BB2">
      <w:start w:val="1"/>
      <w:numFmt w:val="decimal"/>
      <w:lvlText w:val="%1"/>
      <w:lvlJc w:val="left"/>
    </w:lvl>
    <w:lvl w:ilvl="1" w:tplc="72D249DA">
      <w:numFmt w:val="decimal"/>
      <w:lvlText w:val=""/>
      <w:lvlJc w:val="left"/>
    </w:lvl>
    <w:lvl w:ilvl="2" w:tplc="7E62F240">
      <w:numFmt w:val="decimal"/>
      <w:lvlText w:val=""/>
      <w:lvlJc w:val="left"/>
    </w:lvl>
    <w:lvl w:ilvl="3" w:tplc="068A5C8C">
      <w:numFmt w:val="decimal"/>
      <w:lvlText w:val=""/>
      <w:lvlJc w:val="left"/>
    </w:lvl>
    <w:lvl w:ilvl="4" w:tplc="FD123418">
      <w:numFmt w:val="decimal"/>
      <w:lvlText w:val=""/>
      <w:lvlJc w:val="left"/>
    </w:lvl>
    <w:lvl w:ilvl="5" w:tplc="D2EC65D4">
      <w:numFmt w:val="decimal"/>
      <w:lvlText w:val=""/>
      <w:lvlJc w:val="left"/>
    </w:lvl>
    <w:lvl w:ilvl="6" w:tplc="CDC8FA9C">
      <w:numFmt w:val="decimal"/>
      <w:lvlText w:val=""/>
      <w:lvlJc w:val="left"/>
    </w:lvl>
    <w:lvl w:ilvl="7" w:tplc="C3B0F43A">
      <w:numFmt w:val="decimal"/>
      <w:lvlText w:val=""/>
      <w:lvlJc w:val="left"/>
    </w:lvl>
    <w:lvl w:ilvl="8" w:tplc="0ADE25C0">
      <w:numFmt w:val="decimal"/>
      <w:lvlText w:val=""/>
      <w:lvlJc w:val="left"/>
    </w:lvl>
  </w:abstractNum>
  <w:abstractNum w:abstractNumId="1">
    <w:nsid w:val="238E1F29"/>
    <w:multiLevelType w:val="hybridMultilevel"/>
    <w:tmpl w:val="74BE1494"/>
    <w:lvl w:ilvl="0" w:tplc="DBE440C4">
      <w:start w:val="4"/>
      <w:numFmt w:val="decimal"/>
      <w:lvlText w:val="%1"/>
      <w:lvlJc w:val="left"/>
    </w:lvl>
    <w:lvl w:ilvl="1" w:tplc="234A3C64">
      <w:numFmt w:val="decimal"/>
      <w:lvlText w:val=""/>
      <w:lvlJc w:val="left"/>
    </w:lvl>
    <w:lvl w:ilvl="2" w:tplc="34CCD898">
      <w:numFmt w:val="decimal"/>
      <w:lvlText w:val=""/>
      <w:lvlJc w:val="left"/>
    </w:lvl>
    <w:lvl w:ilvl="3" w:tplc="E1B6A628">
      <w:numFmt w:val="decimal"/>
      <w:lvlText w:val=""/>
      <w:lvlJc w:val="left"/>
    </w:lvl>
    <w:lvl w:ilvl="4" w:tplc="F2228B02">
      <w:numFmt w:val="decimal"/>
      <w:lvlText w:val=""/>
      <w:lvlJc w:val="left"/>
    </w:lvl>
    <w:lvl w:ilvl="5" w:tplc="56427E20">
      <w:numFmt w:val="decimal"/>
      <w:lvlText w:val=""/>
      <w:lvlJc w:val="left"/>
    </w:lvl>
    <w:lvl w:ilvl="6" w:tplc="3516F74C">
      <w:numFmt w:val="decimal"/>
      <w:lvlText w:val=""/>
      <w:lvlJc w:val="left"/>
    </w:lvl>
    <w:lvl w:ilvl="7" w:tplc="B13A985A">
      <w:numFmt w:val="decimal"/>
      <w:lvlText w:val=""/>
      <w:lvlJc w:val="left"/>
    </w:lvl>
    <w:lvl w:ilvl="8" w:tplc="40F2F28A">
      <w:numFmt w:val="decimal"/>
      <w:lvlText w:val=""/>
      <w:lvlJc w:val="left"/>
    </w:lvl>
  </w:abstractNum>
  <w:abstractNum w:abstractNumId="2">
    <w:nsid w:val="2AE8944A"/>
    <w:multiLevelType w:val="hybridMultilevel"/>
    <w:tmpl w:val="9E24339E"/>
    <w:lvl w:ilvl="0" w:tplc="816A5AFE">
      <w:start w:val="2"/>
      <w:numFmt w:val="decimal"/>
      <w:lvlText w:val="%1."/>
      <w:lvlJc w:val="left"/>
    </w:lvl>
    <w:lvl w:ilvl="1" w:tplc="3A926CD6">
      <w:numFmt w:val="decimal"/>
      <w:lvlText w:val=""/>
      <w:lvlJc w:val="left"/>
    </w:lvl>
    <w:lvl w:ilvl="2" w:tplc="EBEA07B6">
      <w:numFmt w:val="decimal"/>
      <w:lvlText w:val=""/>
      <w:lvlJc w:val="left"/>
    </w:lvl>
    <w:lvl w:ilvl="3" w:tplc="45402030">
      <w:numFmt w:val="decimal"/>
      <w:lvlText w:val=""/>
      <w:lvlJc w:val="left"/>
    </w:lvl>
    <w:lvl w:ilvl="4" w:tplc="3F761602">
      <w:numFmt w:val="decimal"/>
      <w:lvlText w:val=""/>
      <w:lvlJc w:val="left"/>
    </w:lvl>
    <w:lvl w:ilvl="5" w:tplc="C862F9F0">
      <w:numFmt w:val="decimal"/>
      <w:lvlText w:val=""/>
      <w:lvlJc w:val="left"/>
    </w:lvl>
    <w:lvl w:ilvl="6" w:tplc="0504CCE0">
      <w:numFmt w:val="decimal"/>
      <w:lvlText w:val=""/>
      <w:lvlJc w:val="left"/>
    </w:lvl>
    <w:lvl w:ilvl="7" w:tplc="53BA9DD0">
      <w:numFmt w:val="decimal"/>
      <w:lvlText w:val=""/>
      <w:lvlJc w:val="left"/>
    </w:lvl>
    <w:lvl w:ilvl="8" w:tplc="A7669166">
      <w:numFmt w:val="decimal"/>
      <w:lvlText w:val=""/>
      <w:lvlJc w:val="left"/>
    </w:lvl>
  </w:abstractNum>
  <w:abstractNum w:abstractNumId="3">
    <w:nsid w:val="46E87CCD"/>
    <w:multiLevelType w:val="hybridMultilevel"/>
    <w:tmpl w:val="6136D5EC"/>
    <w:lvl w:ilvl="0" w:tplc="731EE2E2">
      <w:start w:val="1"/>
      <w:numFmt w:val="bullet"/>
      <w:lvlText w:val="**"/>
      <w:lvlJc w:val="left"/>
    </w:lvl>
    <w:lvl w:ilvl="1" w:tplc="75FCBD10">
      <w:numFmt w:val="decimal"/>
      <w:lvlText w:val=""/>
      <w:lvlJc w:val="left"/>
    </w:lvl>
    <w:lvl w:ilvl="2" w:tplc="823EE496">
      <w:numFmt w:val="decimal"/>
      <w:lvlText w:val=""/>
      <w:lvlJc w:val="left"/>
    </w:lvl>
    <w:lvl w:ilvl="3" w:tplc="E300F38A">
      <w:numFmt w:val="decimal"/>
      <w:lvlText w:val=""/>
      <w:lvlJc w:val="left"/>
    </w:lvl>
    <w:lvl w:ilvl="4" w:tplc="9C749060">
      <w:numFmt w:val="decimal"/>
      <w:lvlText w:val=""/>
      <w:lvlJc w:val="left"/>
    </w:lvl>
    <w:lvl w:ilvl="5" w:tplc="2488F448">
      <w:numFmt w:val="decimal"/>
      <w:lvlText w:val=""/>
      <w:lvlJc w:val="left"/>
    </w:lvl>
    <w:lvl w:ilvl="6" w:tplc="314A6A10">
      <w:numFmt w:val="decimal"/>
      <w:lvlText w:val=""/>
      <w:lvlJc w:val="left"/>
    </w:lvl>
    <w:lvl w:ilvl="7" w:tplc="6C14DCF4">
      <w:numFmt w:val="decimal"/>
      <w:lvlText w:val=""/>
      <w:lvlJc w:val="left"/>
    </w:lvl>
    <w:lvl w:ilvl="8" w:tplc="1172A2C6">
      <w:numFmt w:val="decimal"/>
      <w:lvlText w:val=""/>
      <w:lvlJc w:val="left"/>
    </w:lvl>
  </w:abstractNum>
  <w:abstractNum w:abstractNumId="4">
    <w:nsid w:val="625558EC"/>
    <w:multiLevelType w:val="hybridMultilevel"/>
    <w:tmpl w:val="5E3A7374"/>
    <w:lvl w:ilvl="0" w:tplc="CB40DF00">
      <w:start w:val="3"/>
      <w:numFmt w:val="decimal"/>
      <w:lvlText w:val="%1."/>
      <w:lvlJc w:val="left"/>
    </w:lvl>
    <w:lvl w:ilvl="1" w:tplc="B540D2AA">
      <w:numFmt w:val="decimal"/>
      <w:lvlText w:val=""/>
      <w:lvlJc w:val="left"/>
    </w:lvl>
    <w:lvl w:ilvl="2" w:tplc="82C689B8">
      <w:numFmt w:val="decimal"/>
      <w:lvlText w:val=""/>
      <w:lvlJc w:val="left"/>
    </w:lvl>
    <w:lvl w:ilvl="3" w:tplc="C3D42C5E">
      <w:numFmt w:val="decimal"/>
      <w:lvlText w:val=""/>
      <w:lvlJc w:val="left"/>
    </w:lvl>
    <w:lvl w:ilvl="4" w:tplc="83281F3C">
      <w:numFmt w:val="decimal"/>
      <w:lvlText w:val=""/>
      <w:lvlJc w:val="left"/>
    </w:lvl>
    <w:lvl w:ilvl="5" w:tplc="B84A9946">
      <w:numFmt w:val="decimal"/>
      <w:lvlText w:val=""/>
      <w:lvlJc w:val="left"/>
    </w:lvl>
    <w:lvl w:ilvl="6" w:tplc="AB927E9A">
      <w:numFmt w:val="decimal"/>
      <w:lvlText w:val=""/>
      <w:lvlJc w:val="left"/>
    </w:lvl>
    <w:lvl w:ilvl="7" w:tplc="696E1042">
      <w:numFmt w:val="decimal"/>
      <w:lvlText w:val=""/>
      <w:lvlJc w:val="left"/>
    </w:lvl>
    <w:lvl w:ilvl="8" w:tplc="173E2ED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6"/>
    <w:rsid w:val="000779EC"/>
    <w:rsid w:val="000F6385"/>
    <w:rsid w:val="00524A8E"/>
    <w:rsid w:val="00650BE6"/>
    <w:rsid w:val="006801DB"/>
    <w:rsid w:val="00B752F6"/>
    <w:rsid w:val="00C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StoyanovaE</cp:lastModifiedBy>
  <cp:revision>7</cp:revision>
  <dcterms:created xsi:type="dcterms:W3CDTF">2018-10-23T13:26:00Z</dcterms:created>
  <dcterms:modified xsi:type="dcterms:W3CDTF">2019-01-15T09:12:00Z</dcterms:modified>
</cp:coreProperties>
</file>